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96F9" w14:textId="77777777" w:rsidR="00812A31" w:rsidRDefault="00812A31" w:rsidP="00184806">
      <w:pPr>
        <w:spacing w:line="256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14:paraId="7D635470" w14:textId="77777777" w:rsidR="00812A31" w:rsidRDefault="00812A31" w:rsidP="00184806">
      <w:pPr>
        <w:spacing w:line="256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14:paraId="1B2AE83B" w14:textId="77777777" w:rsidR="00812A31" w:rsidRDefault="00812A31" w:rsidP="00184806">
      <w:pPr>
        <w:spacing w:line="256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14:paraId="46B7A5A6" w14:textId="597C9347" w:rsidR="00F808DE" w:rsidRPr="00184806" w:rsidRDefault="00F808DE" w:rsidP="00184806">
      <w:pPr>
        <w:spacing w:line="256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lang w:bidi="ar-SY"/>
        </w:rPr>
      </w:pPr>
      <w:r w:rsidRPr="00184806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السادة في الهيئة الوطنية لخدمات تقانة المعلومات</w:t>
      </w:r>
    </w:p>
    <w:p w14:paraId="0E5ABEA1" w14:textId="2663468C" w:rsidR="00F808DE" w:rsidRPr="00184806" w:rsidRDefault="00F808DE" w:rsidP="00184806">
      <w:pPr>
        <w:spacing w:line="256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184806">
        <w:rPr>
          <w:rFonts w:ascii="Sakkal Majalla" w:eastAsia="Calibri" w:hAnsi="Sakkal Majalla" w:cs="Sakkal Majalla"/>
          <w:b/>
          <w:bCs/>
          <w:sz w:val="32"/>
          <w:szCs w:val="32"/>
          <w:rtl/>
        </w:rPr>
        <w:t>مقدمه:</w:t>
      </w:r>
      <w:r w:rsidR="00184806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Pr="00184806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</w:t>
      </w:r>
      <w:r w:rsidR="00184806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</w:t>
      </w:r>
      <w:r w:rsidRPr="00184806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</w:t>
      </w:r>
    </w:p>
    <w:p w14:paraId="4A4FDA7D" w14:textId="77777777" w:rsidR="00F808DE" w:rsidRPr="00184806" w:rsidRDefault="00F808DE" w:rsidP="00184806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val="ru-RU" w:eastAsia="ru-RU"/>
        </w:rPr>
      </w:pPr>
      <w:r w:rsidRPr="00184806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val="ru-RU" w:eastAsia="ru-RU"/>
        </w:rPr>
        <w:t>نتعهد بالالتزام بالضوابط والنواظم الخاصة بإدخال الجدران النارية وضوابط إستخدامها في الجمهورية العربية السورية</w:t>
      </w:r>
    </w:p>
    <w:p w14:paraId="747DC97F" w14:textId="77777777" w:rsidR="00F808DE" w:rsidRPr="00184806" w:rsidRDefault="00F808DE" w:rsidP="00184806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lang w:val="ru-RU" w:eastAsia="ru-RU"/>
        </w:rPr>
      </w:pPr>
      <w:r w:rsidRPr="00184806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val="ru-RU" w:eastAsia="ru-RU"/>
        </w:rPr>
        <w:t xml:space="preserve">نتعهد بعدم القيام بأية تغييرات على المواصفة الفنية بعد الحصول على موافقة من الهيئة. </w:t>
      </w:r>
    </w:p>
    <w:p w14:paraId="18A7F00B" w14:textId="77777777" w:rsidR="00F808DE" w:rsidRPr="00184806" w:rsidRDefault="00F808DE" w:rsidP="00184806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Sakkal Majalla" w:eastAsia="Times New Roman" w:hAnsi="Sakkal Majalla" w:cs="Sakkal Majalla"/>
          <w:sz w:val="32"/>
          <w:szCs w:val="32"/>
          <w:lang w:val="ru-RU" w:eastAsia="ru-RU"/>
        </w:rPr>
      </w:pPr>
      <w:r w:rsidRPr="00184806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val="ru-RU" w:eastAsia="ru-RU"/>
        </w:rPr>
        <w:t xml:space="preserve">نتعهد بالاحتفاظ ببيانات الجهات المستخدمة للجدران النارية </w:t>
      </w:r>
      <w:r w:rsidRPr="00184806">
        <w:rPr>
          <w:rFonts w:ascii="Sakkal Majalla" w:eastAsia="Times New Roman" w:hAnsi="Sakkal Majalla" w:cs="Sakkal Majalla"/>
          <w:sz w:val="32"/>
          <w:szCs w:val="32"/>
          <w:rtl/>
          <w:lang w:val="ru-RU" w:eastAsia="ru-RU"/>
        </w:rPr>
        <w:t>وتقديمها فقط إلى الهيئة أو الجهات ذات الصلة عند الطلب.</w:t>
      </w:r>
    </w:p>
    <w:p w14:paraId="7DB0A6D7" w14:textId="77777777" w:rsidR="00F808DE" w:rsidRPr="00184806" w:rsidRDefault="00F808DE" w:rsidP="00184806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lang w:val="ru-RU" w:eastAsia="ru-RU"/>
        </w:rPr>
      </w:pPr>
      <w:r w:rsidRPr="00184806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val="ru-RU" w:eastAsia="ru-RU"/>
        </w:rPr>
        <w:t>نتعهد بأن كل ما تم تزويد الهيئة به من وثائق هي صحيحة ودقيقة غير مزيفة.</w:t>
      </w:r>
    </w:p>
    <w:p w14:paraId="7CFD85EE" w14:textId="77777777" w:rsidR="00F808DE" w:rsidRPr="00184806" w:rsidRDefault="00F808DE" w:rsidP="00184806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lang w:val="ru-RU" w:eastAsia="ru-RU"/>
        </w:rPr>
      </w:pPr>
      <w:r w:rsidRPr="00184806"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val="ru-RU" w:eastAsia="ru-RU"/>
        </w:rPr>
        <w:t>نتعهد بأن التجهيزات نوع (   )  طراز (   ) ليست اسرائيلية الصنع أو الممنوحة ترخيص من شركات اسرائيلية.</w:t>
      </w:r>
    </w:p>
    <w:p w14:paraId="2507F72B" w14:textId="77777777" w:rsidR="00F808DE" w:rsidRPr="00184806" w:rsidRDefault="00F808DE" w:rsidP="00184806">
      <w:pPr>
        <w:spacing w:line="256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184806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                                                     </w:t>
      </w:r>
    </w:p>
    <w:p w14:paraId="3DA20244" w14:textId="490604FC" w:rsidR="00F808DE" w:rsidRPr="00184806" w:rsidRDefault="00F808DE" w:rsidP="00812A31">
      <w:pPr>
        <w:spacing w:line="256" w:lineRule="auto"/>
        <w:ind w:left="5958"/>
        <w:jc w:val="center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184806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التوقيع والختم</w:t>
      </w:r>
    </w:p>
    <w:p w14:paraId="7F75A23B" w14:textId="77777777" w:rsidR="004D73BA" w:rsidRPr="00184806" w:rsidRDefault="004D73BA" w:rsidP="00184806">
      <w:pPr>
        <w:jc w:val="both"/>
        <w:rPr>
          <w:rFonts w:ascii="Sakkal Majalla" w:hAnsi="Sakkal Majalla" w:cs="Sakkal Majalla"/>
          <w:sz w:val="32"/>
          <w:szCs w:val="32"/>
        </w:rPr>
      </w:pPr>
    </w:p>
    <w:sectPr w:rsidR="004D73BA" w:rsidRPr="001848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9EB66" w14:textId="77777777" w:rsidR="007D7C46" w:rsidRDefault="007D7C46" w:rsidP="003E0D0A">
      <w:pPr>
        <w:spacing w:after="0" w:line="240" w:lineRule="auto"/>
      </w:pPr>
      <w:r>
        <w:separator/>
      </w:r>
    </w:p>
  </w:endnote>
  <w:endnote w:type="continuationSeparator" w:id="0">
    <w:p w14:paraId="49EE18A3" w14:textId="77777777" w:rsidR="007D7C46" w:rsidRDefault="007D7C46" w:rsidP="003E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32036" w14:textId="77777777" w:rsidR="003E0D0A" w:rsidRPr="00FD3459" w:rsidRDefault="003E0D0A" w:rsidP="003E0D0A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98E15C6" wp14:editId="1AE624F9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76164448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116A8AB" w14:textId="63BE86AA" w:rsidR="003E0D0A" w:rsidRPr="00445F00" w:rsidRDefault="003E0D0A" w:rsidP="003E0D0A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1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812A31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E15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8pt;margin-top:7.65pt;width:78pt;height:23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" stroked="f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76164448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116A8AB" w14:textId="63BE86AA" w:rsidR="003E0D0A" w:rsidRPr="00445F00" w:rsidRDefault="003E0D0A" w:rsidP="003E0D0A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1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812A31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1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6E90B903">
        <v:rect id="_x0000_i1025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  <w:p w14:paraId="1967AE15" w14:textId="77777777" w:rsidR="003E0D0A" w:rsidRDefault="003E0D0A" w:rsidP="003E0D0A">
    <w:pPr>
      <w:pStyle w:val="Footer"/>
      <w:rPr>
        <w:lang w:bidi="ar-SY"/>
      </w:rPr>
    </w:pPr>
  </w:p>
  <w:p w14:paraId="0D2E8764" w14:textId="77777777" w:rsidR="003E0D0A" w:rsidRPr="003E0D0A" w:rsidRDefault="003E0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1DB19" w14:textId="77777777" w:rsidR="007D7C46" w:rsidRDefault="007D7C46" w:rsidP="003E0D0A">
      <w:pPr>
        <w:spacing w:after="0" w:line="240" w:lineRule="auto"/>
      </w:pPr>
      <w:r>
        <w:separator/>
      </w:r>
    </w:p>
  </w:footnote>
  <w:footnote w:type="continuationSeparator" w:id="0">
    <w:p w14:paraId="7C7E553B" w14:textId="77777777" w:rsidR="007D7C46" w:rsidRDefault="007D7C46" w:rsidP="003E0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B3E30"/>
    <w:multiLevelType w:val="hybridMultilevel"/>
    <w:tmpl w:val="A5309F04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  <w:sz w:val="24"/>
        <w:u w:val="none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D3DA9"/>
    <w:multiLevelType w:val="hybridMultilevel"/>
    <w:tmpl w:val="DF02D68C"/>
    <w:lvl w:ilvl="0" w:tplc="B26425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88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08210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4"/>
    <w:rsid w:val="00184806"/>
    <w:rsid w:val="003E0D0A"/>
    <w:rsid w:val="004D73BA"/>
    <w:rsid w:val="005F0280"/>
    <w:rsid w:val="00755DC0"/>
    <w:rsid w:val="007D7C46"/>
    <w:rsid w:val="00812A31"/>
    <w:rsid w:val="00C76786"/>
    <w:rsid w:val="00D612BA"/>
    <w:rsid w:val="00EB3844"/>
    <w:rsid w:val="00EB4B33"/>
    <w:rsid w:val="00F41E99"/>
    <w:rsid w:val="00F808DE"/>
    <w:rsid w:val="00F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9AF4A0"/>
  <w15:chartTrackingRefBased/>
  <w15:docId w15:val="{6EF0215D-E6E2-427F-87B9-721E238A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44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8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0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0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0A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E0D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0D0A"/>
    <w:rPr>
      <w:rFonts w:ascii="Arial" w:hAnsi="Arial" w:cs="Arial" w:hint="default"/>
      <w:color w:val="22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ms</cp:lastModifiedBy>
  <cp:revision>4</cp:revision>
  <dcterms:created xsi:type="dcterms:W3CDTF">2024-07-25T06:24:00Z</dcterms:created>
  <dcterms:modified xsi:type="dcterms:W3CDTF">2024-07-27T18:19:00Z</dcterms:modified>
</cp:coreProperties>
</file>